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
<Relationships xmlns="http://schemas.openxmlformats.org/package/2006/relationships">
 <Relationship Id="rId1" Type="http://schemas.openxmlformats.org/officeDocument/2006/relationships/officeDocument" Target="word/document.xml" />
 <Relationship Id="rId2" Type="http://schemas.openxmlformats.org/package/2006/relationships/metadata/core-properties" Target="docProps/core.xml" />
 <Relationship Id="rId3" Type="http://schemas.openxmlformats.org/officeDocument/2006/relationships/extended-properties" Target="docProps/app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1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Janeiro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576" w:type="dxa"/>
            <w:gridSpan w:val="6"/>
          </w:tcPr>
          <w:p>
     </w:p>
        </w:tc>
        <w:tc>
          <w:tcPr>
            <w:tcW w:w="1362" w:type="dxa"/>
            <w:gridSpan w:val="7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Merge/>
            <w:vAlign w:val="center"/>
            <w:shd w:val="clear" w:color="auto" w:fill="FFFFFF"/>
          </w:tcPr>
          <w:p>
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6047" w:type="dxa"/>
            <w:gridSpan w:val="24"/>
          </w:tcPr>
          <w:p>
     </w:p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>
     </w:p>
        </w:tc>
        <w:tc>
          <w:tcPr>
            <w:tcW w:w="1362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>
     </w:p>
        </w:tc>
        <w:tc>
          <w:tcPr>
            <w:tcW w:w="134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>
     </w:p>
        </w:tc>
        <w:tc>
          <w:tcPr>
            <w:tcW w:w="13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11.002,72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11.002,72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902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9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05m.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2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1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Janeiro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FFFFFF"/>
          </w:tcPr>
          <w:p>
     </w:p>
        </w:tc>
        <w:tc>
          <w:tcPr>
            <w:tcW w:w="1806" w:type="dxa"/>
            <w:gridSpan w:val="7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Merge/>
            <w:vAlign w:val="center"/>
            <w:shd w:val="clear" w:color="auto" w:fill="FFFFFF"/>
          </w:tcPr>
          <w:p>
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>
     </w:p>
        </w:tc>
        <w:tc>
          <w:tcPr>
            <w:tcW w:w="1132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>
     </w:p>
        </w:tc>
        <w:tc>
          <w:tcPr>
            <w:tcW w:w="111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>
     </w:p>
        </w:tc>
        <w:tc>
          <w:tcPr>
            <w:tcW w:w="1132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>
     </w:p>
        </w:tc>
        <w:tc>
          <w:tcPr>
            <w:tcW w:w="1132" w:type="dxa"/>
            <w:gridSpan w:val="3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1.206.010,00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61.495,89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1.144.514,11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825.300,00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50.493,17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774.806,83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380.710,00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369.707,28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175.789,48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61.495,89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1.320.303,59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61.495,89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1.320.303,59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1.381.799,48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61.495,89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11.002,72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1.320.303,59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>
     </w:p>
        </w:tc>
        <w:tc>
          <w:tcPr>
            <w:tcW w:w="1748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633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18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533" w:type="dxa"/>
            <w:gridSpan w:val="9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>
     </w:p>
        </w:tc>
        <w:tc>
          <w:tcPr>
            <w:tcW w:w="1648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>
     </w:p>
        </w:tc>
      </w:tr>
      <w:tr>
        <w:trPr>
          <w:trHeight w:hRule="exact" w:val="143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203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89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05m.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>
     </w:p>
        </w:tc>
        <w:tc>
          <w:tcPr>
            <w:tcW w:w="3496" w:type="dxa"/>
            <w:gridSpan w:val="17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>
     </w:p>
        </w:tc>
        <w:tc>
          <w:tcPr>
            <w:tcW w:w="1362" w:type="dxa"/>
            <w:gridSpan w:val="3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Página 3 de 3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>
     </w:p>
        </w:tc>
        <w:tc>
          <w:tcPr>
            <w:tcW w:w="4399" w:type="dxa"/>
            <w:gridSpan w:val="21"/>
            <w:vMerge w:val="restart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>
     </w:p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 w:val="restart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4399" w:type="dxa"/>
            <w:gridSpan w:val="21"/>
            <w:vMerge/>
            <w:shd w:val="clear" w:color="auto" w:fill="FFFFFF"/>
          </w:tcPr>
          <w:p>
     </w:p>
        </w:tc>
        <w:tc>
          <w:tcPr>
            <w:tcW w:w="4054" w:type="dxa"/>
            <w:gridSpan w:val="15"/>
          </w:tcPr>
          <w:p>
     </w:p>
        </w:tc>
        <w:tc>
          <w:tcPr>
            <w:tcW w:w="1362" w:type="dxa"/>
            <w:gridSpan w:val="3"/>
            <w:vMerge w:val="restart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>
     </w:p>
        </w:tc>
      </w:tr>
      <w:tr>
        <w:trPr>
          <w:trHeight w:hRule="exact" w:val="114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vMerge/>
            <w:shd w:val="clear" w:color="auto" w:fill="FFFFFF"/>
          </w:tcPr>
          <w:p>
     </w:p>
        </w:tc>
        <w:tc>
          <w:tcPr>
            <w:tcW w:w="8568" w:type="dxa"/>
            <w:gridSpan w:val="38"/>
          </w:tcPr>
          <w:p>
     </w:p>
        </w:tc>
        <w:tc>
          <w:tcPr>
            <w:tcW w:w="1362" w:type="dxa"/>
            <w:gridSpan w:val="3"/>
            <w:vMerge/>
            <w:shd w:val="clear" w:color="auto" w:fill="FFFFFF"/>
          </w:tcPr>
          <w:p>
     </w:p>
        </w:tc>
        <w:tc>
          <w:tcPr>
            <w:tcW w:w="57" w:type="dxa"/>
          </w:tcPr>
          <w:p>
     </w:p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Período: Janeiro de 2023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>
     </w:p>
        </w:tc>
        <w:tc>
          <w:tcPr>
            <w:tcW w:w="115" w:type="dxa"/>
          </w:tcPr>
          <w:p>
     </w:p>
        </w:tc>
        <w:tc>
          <w:tcPr>
            <w:tcW w:w="4398" w:type="dxa"/>
            <w:gridSpan w:val="11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>
     </w:p>
        </w:tc>
      </w:tr>
      <w:tr>
        <w:trPr>
          <w:trHeight w:hRule="exact" w:val="10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5531" w:type="dxa"/>
            <w:gridSpan w:val="13"/>
          </w:tcPr>
          <w:p>
     </w:p>
        </w:tc>
        <w:tc>
          <w:tcPr>
            <w:tcW w:w="5645" w:type="dxa"/>
            <w:gridSpan w:val="29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76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295.820,79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295.820,79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328.199,99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32.379,20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>
     </w:p>
        </w:tc>
        <w:tc>
          <w:tcPr>
            <w:tcW w:w="1534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295.820,79</w:t>
            </w:r>
          </w:p>
        </w:tc>
        <w:tc>
          <w:tcPr>
            <w:tcW w:w="1977" w:type="dxa"/>
            <w:gridSpan w:val="5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5187" w:type="dxa"/>
            <w:gridSpan w:val="12"/>
          </w:tcPr>
          <w:p>
     </w:p>
        </w:tc>
        <w:tc>
          <w:tcPr>
            <w:tcW w:w="5645" w:type="dxa"/>
            <w:gridSpan w:val="29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 w:val="restart"/>
            <w:vAlign w:val="center"/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>
     </w:p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jc w:val="center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29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>
     </w:p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444" w:type="dxa"/>
          </w:tcPr>
          <w:p>
     </w:p>
        </w:tc>
        <w:tc>
          <w:tcPr>
            <w:tcW w:w="2493" w:type="dxa"/>
            <w:gridSpan w:val="3"/>
            <w:vMerge/>
            <w:vAlign w:val="center"/>
            <w:shd w:val="clear" w:color="auto" w:fill="FFFFFF"/>
          </w:tcPr>
          <w:p>
     </w:p>
        </w:tc>
        <w:tc>
          <w:tcPr>
            <w:tcW w:w="1118" w:type="dxa"/>
            <w:gridSpan w:val="4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>
     </w:p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>
     </w:p>
        </w:tc>
        <w:tc>
          <w:tcPr>
            <w:tcW w:w="1590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576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5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>
     </w:p>
        </w:tc>
        <w:tc>
          <w:tcPr>
            <w:tcW w:w="1461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>
     </w:p>
        </w:tc>
        <w:tc>
          <w:tcPr>
            <w:tcW w:w="1247" w:type="dxa"/>
            <w:gridSpan w:val="4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>
     </w:p>
        </w:tc>
        <w:tc>
          <w:tcPr>
            <w:tcW w:w="1690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>
     </w:p>
        </w:tc>
        <w:tc>
          <w:tcPr>
            <w:tcW w:w="1633" w:type="dxa"/>
            <w:gridSpan w:val="7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19" w:type="dxa"/>
            <w:gridSpan w:val="8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>
     </w:p>
        </w:tc>
        <w:tc>
          <w:tcPr>
            <w:tcW w:w="1534" w:type="dxa"/>
            <w:gridSpan w:val="6"/>
            <w:vAlign w:val="center"/>
            <w:shd w:val="clear" w:color="auto" w:fill="FFFFFF"/>
          </w:tcPr>
          <w:p>
            <w:pPr>
              <w:spacing w:line="232"/>
              <w:jc w:val="right"/>
              <w:rPr>
                <w:rFonts w:ascii="Arial" w:hAnsi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>
     </w:p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>
     </w:p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30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731"/>
        </w:trPr>
        <w:tc>
          <w:tcPr>
            <w:tcW w:w="15632" w:type="dxa"/>
            <w:gridSpan w:val="56"/>
          </w:tcPr>
          <w:p>
     </w:p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FFFFFF"/>
          </w:tcPr>
          <w:p>
            <w:pPr>
              <w:spacing w:line="232"/>
              <w:rPr>
                <w:rFonts w:ascii="Arial" w:hAnsi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cs="Arial"/>
                <w:color w:val="000000"/>
                <w:sz w:val="12"/>
                <w:spacing w:val="-2"/>
              </w:rPr>
              <w:t xml:space="preserve">FONTE: GOVBR - Execução Orçamentária e Contabilidade Pública, 22/Set/2023, 16h e 05m.</w:t>
            </w:r>
          </w:p>
        </w:tc>
        <w:tc>
          <w:tcPr>
            <w:tcW w:w="57" w:type="dxa"/>
          </w:tcPr>
          <w:p>
     </w:p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</w:font>
  <w:font w:name="Arial">
 </w:font>
  <w:font w:name="Cambria">
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
<Relationships xmlns="http://schemas.openxmlformats.org/package/2006/relationships">
 <Relationship Id="rId1" Type="http://schemas.openxmlformats.org/officeDocument/2006/relationships/styles" Target="styles.xml" />
 <Relationship Id="rId2" Type="http://schemas.openxmlformats.org/officeDocument/2006/relationships/settings" Target="settings.xml" />
 <Relationship Id="rId3" Type="http://schemas.openxmlformats.org/officeDocument/2006/relationships/webSettings" Target="webSettings.xml" />
 <Relationship Id="rId4" Type="http://schemas.openxmlformats.org/officeDocument/2006/relationships/fontTable" Target="fontTable.xml" 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Stimulsoft Reports 2012.2.1400 from 13 September 2012</cp:lastModifiedBy>
  <cp:revision>1</cp:revision>
  <dcterms:created xsi:type="dcterms:W3CDTF">2023-09-22T16:06:15Z</dcterms:created>
  <dcterms:modified xsi:type="dcterms:W3CDTF">2023-09-22T16:06:15Z</dcterms:modified>
</cp:coreProperties>
</file>