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688"/>
        <w:gridCol w:w="1232"/>
        <w:gridCol w:w="459"/>
        <w:gridCol w:w="115"/>
        <w:gridCol w:w="1117"/>
        <w:gridCol w:w="229"/>
        <w:gridCol w:w="1806"/>
        <w:gridCol w:w="229"/>
        <w:gridCol w:w="559"/>
        <w:gridCol w:w="114"/>
        <w:gridCol w:w="788"/>
        <w:gridCol w:w="574"/>
        <w:gridCol w:w="902"/>
        <w:gridCol w:w="387"/>
        <w:gridCol w:w="57"/>
      </w:tblGrid>
      <w:tr>
        <w:trPr>
          <w:trHeight w:hRule="exact" w:val="115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2</w:t>
            </w:r>
          </w:p>
        </w:tc>
      </w:tr>
      <w:tr>
        <w:trPr>
          <w:trHeight w:hRule="exact" w:val="114"/>
        </w:trPr>
        <w:tc>
          <w:tcPr>
            <w:tcW w:w="3381" w:type="dxa"/>
            <w:gridSpan w:val="3"/>
          </w:tcPr>
          <w:p/>
        </w:tc>
        <w:tc>
          <w:tcPr>
            <w:tcW w:w="4628" w:type="dxa"/>
            <w:gridSpan w:val="8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DEMONSTRAÇÃO DOS FLUXOS DE CAIXA</w:t>
            </w:r>
          </w:p>
        </w:tc>
        <w:tc>
          <w:tcPr>
            <w:tcW w:w="788" w:type="dxa"/>
          </w:tcPr>
          <w:p/>
        </w:tc>
        <w:tc>
          <w:tcPr>
            <w:tcW w:w="1920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3381" w:type="dxa"/>
            <w:gridSpan w:val="3"/>
          </w:tcPr>
          <w:p/>
        </w:tc>
        <w:tc>
          <w:tcPr>
            <w:tcW w:w="4628" w:type="dxa"/>
            <w:gridSpan w:val="8"/>
            <w:vMerge/>
            <w:shd w:val="clear" w:color="auto" w:fill="auto"/>
          </w:tcPr>
          <w:p/>
        </w:tc>
        <w:tc>
          <w:tcPr>
            <w:tcW w:w="2708" w:type="dxa"/>
            <w:gridSpan w:val="5"/>
          </w:tcPr>
          <w:p/>
        </w:tc>
      </w:tr>
      <w:tr>
        <w:trPr>
          <w:trHeight w:hRule="exact" w:val="2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30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Abril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14"/>
        </w:trPr>
        <w:tc>
          <w:tcPr>
            <w:tcW w:w="7336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</w:tcPr>
          <w:p/>
        </w:tc>
        <w:tc>
          <w:tcPr>
            <w:tcW w:w="1920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7107" w:type="dxa"/>
            <w:gridSpan w:val="8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788" w:type="dxa"/>
            <w:gridSpan w:val="2"/>
            <w:vMerge w:val="restart"/>
            <w:vAlign w:val="bottom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Nota</w:t>
            </w:r>
          </w:p>
        </w:tc>
        <w:tc>
          <w:tcPr>
            <w:tcW w:w="114" w:type="dxa"/>
            <w:vMerge w:val="restart"/>
            <w:shd w:val="clear" w:color="auto" w:fill="auto"/>
          </w:tcPr>
          <w:p/>
        </w:tc>
        <w:tc>
          <w:tcPr>
            <w:tcW w:w="2651" w:type="dxa"/>
            <w:gridSpan w:val="4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7107" w:type="dxa"/>
            <w:gridSpan w:val="8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FLUXOS DE CAIXA DAS ATIVIDADES OPERACIONAIS</w:t>
            </w:r>
          </w:p>
        </w:tc>
        <w:tc>
          <w:tcPr>
            <w:tcW w:w="788" w:type="dxa"/>
            <w:gridSpan w:val="2"/>
            <w:vMerge/>
            <w:vAlign w:val="bottom"/>
            <w:shd w:val="clear" w:color="auto" w:fill="auto"/>
          </w:tcPr>
          <w:p/>
        </w:tc>
        <w:tc>
          <w:tcPr>
            <w:tcW w:w="114" w:type="dxa"/>
            <w:vMerge/>
            <w:shd w:val="clear" w:color="auto" w:fill="auto"/>
          </w:tcPr>
          <w:p/>
        </w:tc>
        <w:tc>
          <w:tcPr>
            <w:tcW w:w="2651" w:type="dxa"/>
            <w:gridSpan w:val="4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30"/>
        </w:trPr>
        <w:tc>
          <w:tcPr>
            <w:tcW w:w="7107" w:type="dxa"/>
            <w:gridSpan w:val="8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3610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Ingressos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182.391,89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Transferências recebidas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128.427,77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Outros ingressos operacionais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53.964,12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Desembolsos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123.465,06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Pessoal e demais despesas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55.088,49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Outros desembolsos operacionais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68.376,57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Fluxo de caixa líquido das atividades operacionais (I)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58.926,83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58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FLUXOS DE CAIXA DAS ATIVIDADES DE INVESTIMENTO</w:t>
            </w:r>
          </w:p>
        </w:tc>
        <w:tc>
          <w:tcPr>
            <w:tcW w:w="3610" w:type="dxa"/>
            <w:gridSpan w:val="8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Desembolsos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933,00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Aquisição de ativo não circulante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933,00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Fluxo de caixa líquido das atividades de investimento (II)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(933,00)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GERAÇÃO LÍQUIDA DE CAIXA E EQUIVALENTE DE CAIXA (I + II + III)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57.993,83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Caixa e Equivalente de caixa inicial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202.933,72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107" w:type="dxa"/>
            <w:gridSpan w:val="8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Caixa e Equivalente de caixa final</w:t>
            </w:r>
          </w:p>
        </w:tc>
        <w:tc>
          <w:tcPr>
            <w:tcW w:w="902" w:type="dxa"/>
            <w:gridSpan w:val="3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260.927,55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10717" w:type="dxa"/>
            <w:gridSpan w:val="16"/>
            <w:tcBorders>
              <w:top w:val="single" w:sz="5" w:space="0" w:color="000000"/>
            </w:tcBorders>
          </w:tcPr>
          <w:p/>
        </w:tc>
      </w:tr>
      <w:tr>
        <w:trPr>
          <w:trHeight w:hRule="exact" w:val="2837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823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11/Set/2024, 12h e 38m.</w:t>
            </w:r>
          </w:p>
        </w:tc>
      </w:tr>
      <w:tr>
        <w:trPr>
          <w:trHeight w:hRule="exact" w:val="1576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215"/>
        </w:trPr>
        <w:tc>
          <w:tcPr>
            <w:tcW w:w="2149" w:type="dxa"/>
            <w:gridSpan w:val="2"/>
          </w:tcPr>
          <w:p/>
        </w:tc>
        <w:tc>
          <w:tcPr>
            <w:tcW w:w="7222" w:type="dxa"/>
            <w:gridSpan w:val="11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QUADRO DE TRANSFERÊNCIAS RECEBIDAS E CONCEDIDAS</w:t>
            </w:r>
          </w:p>
        </w:tc>
        <w:tc>
          <w:tcPr>
            <w:tcW w:w="1346" w:type="dxa"/>
            <w:gridSpan w:val="3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15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Abril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29"/>
        </w:trPr>
        <w:tc>
          <w:tcPr>
            <w:tcW w:w="7336" w:type="dxa"/>
            <w:gridSpan w:val="9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8009" w:type="dxa"/>
            <w:gridSpan w:val="11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4"/>
            <w:vMerge w:val="restart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vMerge w:val="restart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5301" w:type="dxa"/>
            <w:gridSpan w:val="7"/>
            <w:vMerge w:val="restart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TRANSFERÊNCIAS CORRENTES RECEBIDAS</w:t>
            </w:r>
          </w:p>
        </w:tc>
        <w:tc>
          <w:tcPr>
            <w:tcW w:w="2708" w:type="dxa"/>
            <w:gridSpan w:val="4"/>
            <w:shd w:val="clear" w:color="auto" w:fill="auto"/>
          </w:tcPr>
          <w:p/>
        </w:tc>
        <w:tc>
          <w:tcPr>
            <w:tcW w:w="2651" w:type="dxa"/>
            <w:gridSpan w:val="4"/>
            <w:vMerge/>
            <w:vAlign w:val="center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57" w:type="dxa"/>
            <w:vMerge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14"/>
        </w:trPr>
        <w:tc>
          <w:tcPr>
            <w:tcW w:w="5301" w:type="dxa"/>
            <w:gridSpan w:val="7"/>
            <w:vMerge/>
            <w:vAlign w:val="center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5416" w:type="dxa"/>
            <w:gridSpan w:val="9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Intragovernamentais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128.427,77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das transferências recebidas</w:t>
            </w:r>
          </w:p>
        </w:tc>
        <w:tc>
          <w:tcPr>
            <w:tcW w:w="114" w:type="dxa"/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128.427,77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8797" w:type="dxa"/>
            <w:gridSpan w:val="12"/>
          </w:tcPr>
          <w:p/>
        </w:tc>
        <w:tc>
          <w:tcPr>
            <w:tcW w:w="1920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2</w:t>
            </w:r>
          </w:p>
        </w:tc>
      </w:tr>
      <w:tr>
        <w:trPr>
          <w:trHeight w:hRule="exact" w:val="215"/>
        </w:trPr>
        <w:tc>
          <w:tcPr>
            <w:tcW w:w="1461" w:type="dxa"/>
          </w:tcPr>
          <w:p/>
        </w:tc>
        <w:tc>
          <w:tcPr>
            <w:tcW w:w="8812" w:type="dxa"/>
            <w:gridSpan w:val="13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2"/>
                <w:spacing w:val="-2"/>
              </w:rPr>
              <w:t xml:space="preserve">QUADRO DE DESEMBOLSOS DE PESSOAL E DEMAIS DESPESAS POR FUNÇÃO</w:t>
            </w:r>
          </w:p>
        </w:tc>
        <w:tc>
          <w:tcPr>
            <w:tcW w:w="444" w:type="dxa"/>
            <w:gridSpan w:val="2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Município: Turuçu</w:t>
            </w:r>
          </w:p>
        </w:tc>
        <w:tc>
          <w:tcPr>
            <w:tcW w:w="6877" w:type="dxa"/>
            <w:gridSpan w:val="12"/>
          </w:tcPr>
          <w:p/>
        </w:tc>
      </w:tr>
      <w:tr>
        <w:trPr>
          <w:trHeight w:hRule="exact" w:val="229"/>
        </w:trPr>
        <w:tc>
          <w:tcPr>
            <w:tcW w:w="5072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5645" w:type="dxa"/>
            <w:gridSpan w:val="10"/>
          </w:tcPr>
          <w:p/>
        </w:tc>
      </w:tr>
      <w:tr>
        <w:trPr>
          <w:trHeight w:hRule="exact" w:val="215"/>
        </w:trPr>
        <w:tc>
          <w:tcPr>
            <w:tcW w:w="3955" w:type="dxa"/>
            <w:gridSpan w:val="5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Abril de 2024</w:t>
            </w:r>
          </w:p>
        </w:tc>
        <w:tc>
          <w:tcPr>
            <w:tcW w:w="6762" w:type="dxa"/>
            <w:gridSpan w:val="11"/>
          </w:tcPr>
          <w:p/>
        </w:tc>
      </w:tr>
      <w:tr>
        <w:trPr>
          <w:trHeight w:hRule="exact" w:val="229"/>
        </w:trPr>
        <w:tc>
          <w:tcPr>
            <w:tcW w:w="7336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0001 - LEGISLATIVO MUNICIPAL</w:t>
            </w:r>
          </w:p>
        </w:tc>
        <w:tc>
          <w:tcPr>
            <w:tcW w:w="1461" w:type="dxa"/>
            <w:gridSpan w:val="3"/>
          </w:tcPr>
          <w:p/>
        </w:tc>
        <w:tc>
          <w:tcPr>
            <w:tcW w:w="1920" w:type="dxa"/>
            <w:gridSpan w:val="4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444"/>
        </w:trPr>
        <w:tc>
          <w:tcPr>
            <w:tcW w:w="8009" w:type="dxa"/>
            <w:gridSpan w:val="11"/>
            <w:tcBorders>
              <w:left w:val="single" w:sz="5" w:space="0" w:color="000000"/>
            </w:tcBorders>
            <w:shd w:val="clear" w:color="auto" w:fill="auto"/>
          </w:tcPr>
          <w:p/>
        </w:tc>
        <w:tc>
          <w:tcPr>
            <w:tcW w:w="2651" w:type="dxa"/>
            <w:gridSpan w:val="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Exercício</w:t>
            </w:r>
          </w:p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Atual</w:t>
            </w:r>
          </w:p>
        </w:tc>
        <w:tc>
          <w:tcPr>
            <w:tcW w:w="57" w:type="dxa"/>
            <w:tcBorders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6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Administração</w:t>
            </w:r>
          </w:p>
        </w:tc>
        <w:tc>
          <w:tcPr>
            <w:tcW w:w="2822" w:type="dxa"/>
            <w:gridSpan w:val="6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55.088,49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10"/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dos Desembolsos de Pessoal e Demais Despesas por Função</w:t>
            </w:r>
          </w:p>
        </w:tc>
        <w:tc>
          <w:tcPr>
            <w:tcW w:w="2822" w:type="dxa"/>
            <w:gridSpan w:val="6"/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55.088,49</w:t>
            </w:r>
          </w:p>
        </w:tc>
      </w:tr>
      <w:tr>
        <w:trPr>
          <w:trHeight w:hRule="exact" w:val="215"/>
        </w:trPr>
        <w:tc>
          <w:tcPr>
            <w:tcW w:w="10717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tcBorders>
              <w:top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16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Nota: A Demonstração dos Fluxos de Caixa é elaborada pelo método direto, isto é, evidencia somente as movimentações ocorridas no caixa e seus equivalentes (bancos).</w:t>
            </w:r>
          </w:p>
          <w:p>
            <w:pPr>
              <w:spacing w:line="229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Os valores apresentados consideram a movimentação das contas Intra OFSS.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6"/>
            <w:vMerge w:val="restart"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0717" w:type="dxa"/>
            <w:gridSpan w:val="16"/>
            <w:vMerge/>
            <w:shd w:val="clear" w:color="auto" w:fill="auto"/>
          </w:tcPr>
          <w:p/>
        </w:tc>
      </w:tr>
      <w:tr>
        <w:trPr>
          <w:trHeight w:hRule="exact" w:val="717"/>
        </w:trPr>
        <w:tc>
          <w:tcPr>
            <w:tcW w:w="10717" w:type="dxa"/>
            <w:gridSpan w:val="16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2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</w:tr>
      <w:tr>
        <w:trPr>
          <w:trHeight w:hRule="exact" w:val="2865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791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1791"/>
        </w:trPr>
        <w:tc>
          <w:tcPr>
            <w:tcW w:w="10717" w:type="dxa"/>
            <w:gridSpan w:val="16"/>
          </w:tcPr>
          <w:p/>
        </w:tc>
      </w:tr>
      <w:tr>
        <w:trPr>
          <w:trHeight w:hRule="exact" w:val="229"/>
        </w:trPr>
        <w:tc>
          <w:tcPr>
            <w:tcW w:w="10717" w:type="dxa"/>
            <w:gridSpan w:val="16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11/Set/2024, 12h e 38m.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C:\TEMP\CP920025</dc:subject>
  <dc:creator>PRONIM</dc:creator>
  <cp:keywords/>
  <dc:description>[Template]</dc:description>
  <cp:lastModifiedBy>Stimulsoft Reports 2021.3.7 from 17 August 2021, .NET 4.5</cp:lastModifiedBy>
  <cp:revision>1</cp:revision>
  <dcterms:created xsi:type="dcterms:W3CDTF">2024-09-11T15:40:02Z</dcterms:created>
  <dcterms:modified xsi:type="dcterms:W3CDTF">2024-09-11T15:40:02Z</dcterms:modified>
</cp:coreProperties>
</file>